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404689</w:t>
      </w:r>
      <w:bookmarkStart w:id="10" w:name="_GoBack"/>
      <w:bookmarkEnd w:id="10"/>
    </w:p>
    <w:p>
      <w:pPr>
        <w:pStyle w:val="74"/>
        <w:outlineLvl w:val="0"/>
        <w:rPr>
          <w:rFonts w:hint="eastAsia" w:ascii="Arial" w:hAnsi="Arial" w:cs="Arial" w:eastAsiaTheme="minorEastAsia"/>
          <w:b/>
          <w:bCs/>
          <w:lang w:eastAsia="zh-CN"/>
        </w:rPr>
      </w:pPr>
      <w:r>
        <w:rPr>
          <w:rFonts w:hint="eastAsia"/>
          <w:b/>
          <w:sz w:val="24"/>
          <w:lang w:val="en-US" w:eastAsia="zh-CN"/>
        </w:rPr>
        <w:t>ChangSha, China, 15 - 19 Apr, 2024</w:t>
      </w: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7.3.4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r>
        <w:rPr>
          <w:rFonts w:hint="eastAsia"/>
          <w:sz w:val="22"/>
        </w:rPr>
        <w:t xml:space="preserve">(IoT_NTN_enh-Perf) </w:t>
      </w:r>
      <w:r>
        <w:rPr>
          <w:sz w:val="22"/>
        </w:rPr>
        <w:t xml:space="preserve">Discussion on RRM </w:t>
      </w:r>
      <w:r>
        <w:rPr>
          <w:rFonts w:hint="eastAsia"/>
          <w:sz w:val="22"/>
          <w:lang w:val="en-US" w:eastAsia="zh-CN"/>
        </w:rPr>
        <w:t>test cases</w:t>
      </w:r>
      <w:r>
        <w:rPr>
          <w:sz w:val="22"/>
        </w:rPr>
        <w:t xml:space="preserve"> for </w:t>
      </w:r>
      <w:bookmarkEnd w:id="2"/>
      <w:r>
        <w:rPr>
          <w:sz w:val="22"/>
        </w:rPr>
        <w:t>IOT NTN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rFonts w:hint="default" w:eastAsiaTheme="minorEastAsia"/>
          <w:sz w:val="20"/>
          <w:szCs w:val="20"/>
          <w:lang w:val="en-US" w:eastAsia="zh-CN"/>
        </w:rPr>
      </w:pPr>
      <w:r>
        <w:rPr>
          <w:sz w:val="20"/>
          <w:szCs w:val="20"/>
        </w:rPr>
        <w:t>In RAN4#1</w:t>
      </w:r>
      <w:r>
        <w:rPr>
          <w:rFonts w:hint="eastAsia"/>
          <w:sz w:val="20"/>
          <w:szCs w:val="20"/>
          <w:lang w:val="en-US" w:eastAsia="zh-CN"/>
        </w:rPr>
        <w:t>10</w:t>
      </w:r>
      <w:r>
        <w:rPr>
          <w:sz w:val="20"/>
          <w:szCs w:val="20"/>
        </w:rPr>
        <w:t xml:space="preserve"> meeting, RAN4 </w:t>
      </w:r>
      <w:r>
        <w:rPr>
          <w:rFonts w:hint="eastAsia"/>
          <w:sz w:val="20"/>
          <w:szCs w:val="20"/>
          <w:lang w:val="en-US" w:eastAsia="zh-CN"/>
        </w:rPr>
        <w:t>agreed the test list</w:t>
      </w:r>
      <w:r>
        <w:rPr>
          <w:sz w:val="20"/>
          <w:szCs w:val="20"/>
        </w:rPr>
        <w:t xml:space="preserve"> for IOT NTN enhancement, the WF has been approved in [1].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In this contribution, we provide our views on the specific test configuration of several RRM test cases for IOT NTN enhancement.</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2"/>
      <w:bookmarkStart w:id="7" w:name="OLE_LINK1"/>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spacing w:before="156" w:beforeLines="50"/>
        <w:rPr>
          <w:b/>
          <w:i/>
          <w:iCs/>
          <w:sz w:val="20"/>
          <w:szCs w:val="20"/>
          <w:u w:val="single"/>
          <w:lang w:val="en-US" w:eastAsia="zh-CN"/>
        </w:rPr>
      </w:pPr>
      <w:r>
        <w:rPr>
          <w:b/>
          <w:i/>
          <w:iCs/>
          <w:sz w:val="20"/>
          <w:szCs w:val="20"/>
          <w:u w:val="single"/>
          <w:lang w:val="en-US" w:eastAsia="zh-CN"/>
        </w:rPr>
        <w:t>Issue 2-3-6: Cell setting</w:t>
      </w:r>
    </w:p>
    <w:p>
      <w:pPr>
        <w:overflowPunct w:val="0"/>
        <w:autoSpaceDE w:val="0"/>
        <w:autoSpaceDN w:val="0"/>
        <w:adjustRightInd w:val="0"/>
        <w:spacing w:line="252" w:lineRule="auto"/>
        <w:textAlignment w:val="baseline"/>
        <w:rPr>
          <w:rFonts w:eastAsia="宋体"/>
          <w:i/>
          <w:iCs/>
          <w:sz w:val="20"/>
          <w:lang w:val="en-US" w:eastAsia="en-US"/>
        </w:rPr>
      </w:pPr>
      <w:bookmarkStart w:id="8" w:name="OLE_LINK37"/>
      <w:bookmarkStart w:id="9" w:name="OLE_LINK35"/>
      <w:r>
        <w:rPr>
          <w:rFonts w:eastAsia="宋体"/>
          <w:i/>
          <w:iCs/>
          <w:sz w:val="20"/>
          <w:lang w:val="en-US" w:eastAsia="en-US"/>
        </w:rPr>
        <w:t>&lt;Wayforward&gt;</w:t>
      </w:r>
    </w:p>
    <w:bookmarkEnd w:id="8"/>
    <w:p>
      <w:pPr>
        <w:overflowPunct w:val="0"/>
        <w:autoSpaceDE w:val="0"/>
        <w:autoSpaceDN w:val="0"/>
        <w:adjustRightInd w:val="0"/>
        <w:spacing w:line="252" w:lineRule="auto"/>
        <w:textAlignment w:val="baseline"/>
        <w:rPr>
          <w:rFonts w:eastAsia="宋体"/>
          <w:i/>
          <w:iCs/>
          <w:sz w:val="20"/>
          <w:lang w:val="en-US" w:eastAsia="en-US"/>
        </w:rPr>
      </w:pPr>
      <w:r>
        <w:rPr>
          <w:rFonts w:eastAsia="宋体"/>
          <w:i/>
          <w:iCs/>
          <w:sz w:val="20"/>
          <w:lang w:val="en-US" w:eastAsia="en-US"/>
        </w:rPr>
        <w:t>FFS</w:t>
      </w:r>
    </w:p>
    <w:bookmarkEnd w:id="9"/>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en-GB"/>
        </w:rPr>
      </w:pPr>
      <w:r>
        <w:rPr>
          <w:rFonts w:eastAsia="宋体"/>
          <w:i/>
          <w:iCs/>
          <w:sz w:val="20"/>
          <w:lang w:val="en-US" w:eastAsia="zh-CN"/>
        </w:rPr>
        <w:fldChar w:fldCharType="begin"/>
      </w:r>
      <w:r>
        <w:rPr>
          <w:rFonts w:eastAsia="宋体"/>
          <w:i/>
          <w:iCs/>
          <w:sz w:val="20"/>
          <w:lang w:val="en-US" w:eastAsia="zh-CN"/>
        </w:rPr>
        <w:instrText xml:space="preserve"> HYPERLINK "file:///C:\\Users\\mtk12330\\Desktop\\2402%20R4_110_Local\\%5b203%5d%5b202%5d%5b224%5d%5b233%5d%5bNTN%20evo%5d\\%5bM233%5d%20R18%20IoT%20NTN%20enh%20-%20Disc1ok\\TDoc%20-%20Perf%20Disc\\R4-2402701%20Performance%20considerations%20%20for%20NTN%20enhancements.docx" \l "_Toc159271420" </w:instrText>
      </w:r>
      <w:r>
        <w:rPr>
          <w:rFonts w:eastAsia="宋体"/>
          <w:i/>
          <w:iCs/>
          <w:sz w:val="20"/>
          <w:lang w:val="en-US" w:eastAsia="zh-CN"/>
        </w:rPr>
        <w:fldChar w:fldCharType="separate"/>
      </w:r>
      <w:r>
        <w:rPr>
          <w:rFonts w:eastAsia="宋体"/>
          <w:i/>
          <w:iCs/>
          <w:sz w:val="20"/>
          <w:lang w:val="en-US" w:eastAsia="zh-CN"/>
        </w:rPr>
        <w:t>For NB-IoT/eMTC introduce distance-based measurement triggering test cases for RRC Idle and RRC connected modes in Earth moving cell scenarios.</w:t>
      </w:r>
      <w:r>
        <w:rPr>
          <w:rFonts w:eastAsia="宋体"/>
          <w:i/>
          <w:iCs/>
          <w:sz w:val="20"/>
          <w:lang w:val="en-US" w:eastAsia="zh-CN"/>
        </w:rPr>
        <w:fldChar w:fldCharType="end"/>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en-GB"/>
        </w:rPr>
      </w:pPr>
      <w:r>
        <w:rPr>
          <w:rFonts w:eastAsia="宋体"/>
          <w:i/>
          <w:iCs/>
          <w:sz w:val="20"/>
          <w:lang w:val="en-US" w:eastAsia="zh-CN"/>
        </w:rPr>
        <w:fldChar w:fldCharType="begin"/>
      </w:r>
      <w:r>
        <w:rPr>
          <w:rFonts w:eastAsia="宋体"/>
          <w:i/>
          <w:iCs/>
          <w:sz w:val="20"/>
          <w:lang w:val="en-US" w:eastAsia="zh-CN"/>
        </w:rPr>
        <w:instrText xml:space="preserve"> HYPERLINK "file:///C:\\Users\\mtk12330\\Desktop\\2402%20R4_110_Local\\%5b203%5d%5b202%5d%5b224%5d%5b233%5d%5bNTN%20evo%5d\\%5bM233%5d%20R18%20IoT%20NTN%20enh%20-%20Disc1ok\\TDoc%20-%20Perf%20Disc\\R4-2402701%20Performance%20considerations%20%20for%20NTN%20enhancements.docx" \l "_Toc159271421" </w:instrText>
      </w:r>
      <w:r>
        <w:rPr>
          <w:rFonts w:eastAsia="宋体"/>
          <w:i/>
          <w:iCs/>
          <w:sz w:val="20"/>
          <w:lang w:val="en-US" w:eastAsia="zh-CN"/>
        </w:rPr>
        <w:fldChar w:fldCharType="separate"/>
      </w:r>
      <w:r>
        <w:rPr>
          <w:rFonts w:eastAsia="宋体"/>
          <w:i/>
          <w:iCs/>
          <w:sz w:val="20"/>
          <w:lang w:val="en-US" w:eastAsia="zh-CN"/>
        </w:rPr>
        <w:t xml:space="preserve"> For NB-IoT/eMTC introduce time-based measurement triggering test cases for RRC Idle and RRC connected modes in Earth Fixed cell scenarios.</w:t>
      </w:r>
      <w:r>
        <w:rPr>
          <w:rFonts w:eastAsia="宋体"/>
          <w:i/>
          <w:iCs/>
          <w:sz w:val="20"/>
          <w:lang w:val="en-US" w:eastAsia="zh-CN"/>
        </w:rPr>
        <w:fldChar w:fldCharType="end"/>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First of all, the time-based and distance-based measurement triggering are more robust in earth fixed cell scenario, we think at least both of them should be tested in earth fixed cell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 For NB-IoT/eMTC, introduce time-based and location-based measurement triggering test cases for RRC Idle and RRC connected modes in Earth Fixed cell scenarios.</w:t>
      </w:r>
    </w:p>
    <w:p>
      <w:pPr>
        <w:spacing w:before="120" w:after="120"/>
        <w:jc w:val="both"/>
        <w:rPr>
          <w:rFonts w:hint="eastAsia"/>
          <w:i w:val="0"/>
          <w:iCs w:val="0"/>
          <w:sz w:val="20"/>
          <w:szCs w:val="20"/>
          <w:highlight w:val="none"/>
          <w:lang w:val="en-US" w:eastAsia="zh-CN"/>
        </w:rPr>
      </w:pPr>
      <w:r>
        <w:rPr>
          <w:rFonts w:hint="eastAsia"/>
          <w:sz w:val="20"/>
          <w:szCs w:val="20"/>
          <w:lang w:val="en-US" w:eastAsia="zh-CN"/>
        </w:rPr>
        <w:t xml:space="preserve">Regarding earth moving cell scenario, comparing with quasi-fixed cell scenario, the main difference is that UE should </w:t>
      </w:r>
      <w:r>
        <w:rPr>
          <w:rFonts w:hint="eastAsia"/>
          <w:i w:val="0"/>
          <w:iCs w:val="0"/>
          <w:sz w:val="20"/>
          <w:szCs w:val="20"/>
          <w:highlight w:val="none"/>
          <w:lang w:val="en-US" w:eastAsia="zh-CN"/>
        </w:rPr>
        <w:t xml:space="preserve">derive the trajectory of serving cell with rough accuracy based on serving satellite ephemeris and epochTime </w:t>
      </w:r>
      <w:r>
        <w:rPr>
          <w:rFonts w:hint="eastAsia"/>
          <w:sz w:val="20"/>
          <w:szCs w:val="20"/>
          <w:lang w:val="en-US" w:eastAsia="zh-CN"/>
        </w:rPr>
        <w:t>in earth-moving cell</w:t>
      </w:r>
      <w:r>
        <w:rPr>
          <w:rFonts w:hint="eastAsia"/>
          <w:i w:val="0"/>
          <w:iCs w:val="0"/>
          <w:sz w:val="20"/>
          <w:szCs w:val="20"/>
          <w:highlight w:val="none"/>
          <w:lang w:val="en-US" w:eastAsia="zh-CN"/>
        </w:rPr>
        <w:t>, we think it is important to test such UE behavior in the earth-moving cell test case.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spacing w:before="120" w:after="120"/>
              <w:jc w:val="both"/>
              <w:rPr>
                <w:rFonts w:hint="default"/>
                <w:sz w:val="20"/>
                <w:szCs w:val="20"/>
                <w:lang w:val="en-US" w:eastAsia="zh-CN"/>
              </w:rPr>
            </w:pPr>
            <w:r>
              <w:rPr>
                <w:rFonts w:hint="eastAsia"/>
                <w:sz w:val="20"/>
                <w:szCs w:val="20"/>
                <w:lang w:val="en-US" w:eastAsia="zh-CN"/>
              </w:rPr>
              <w:t>Agreement in RAN2#121bis meeting:</w:t>
            </w:r>
          </w:p>
          <w:p>
            <w:pPr>
              <w:spacing w:before="120" w:after="120"/>
              <w:jc w:val="both"/>
              <w:rPr>
                <w:rFonts w:hint="eastAsia"/>
                <w:i w:val="0"/>
                <w:iCs w:val="0"/>
                <w:sz w:val="20"/>
                <w:szCs w:val="20"/>
                <w:highlight w:val="none"/>
                <w:vertAlign w:val="baseline"/>
                <w:lang w:val="en-US" w:eastAsia="zh-CN"/>
              </w:rPr>
            </w:pPr>
            <w:r>
              <w:rPr>
                <w:rFonts w:hint="eastAsia"/>
                <w:i/>
                <w:iCs/>
                <w:sz w:val="20"/>
                <w:szCs w:val="20"/>
                <w:lang w:val="en-US" w:eastAsia="zh-CN"/>
              </w:rPr>
              <w:t xml:space="preserve">RAN2 understands that </w:t>
            </w:r>
            <w:r>
              <w:rPr>
                <w:rFonts w:hint="eastAsia"/>
                <w:i/>
                <w:iCs/>
                <w:sz w:val="20"/>
                <w:szCs w:val="20"/>
                <w:highlight w:val="yellow"/>
                <w:lang w:val="en-US" w:eastAsia="zh-CN"/>
              </w:rPr>
              <w:t>for earth-moving cell reselection, the UE can derive the trajectory of serving cell with rough accuracy based on serving satellite ephemeris and epochTime,</w:t>
            </w:r>
            <w:r>
              <w:rPr>
                <w:rFonts w:hint="eastAsia"/>
                <w:i/>
                <w:iCs/>
                <w:sz w:val="20"/>
                <w:szCs w:val="20"/>
                <w:lang w:val="en-US" w:eastAsia="zh-CN"/>
              </w:rPr>
              <w:t xml:space="preserv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Based on the current high level test procedure for SAN RRM tests in TS 38.133 Clause B.5, the artificial constant ephemeris information will be used in the test cases. By means of constant ephemeris information, the scenario of earth-moving cell can not be emulated, the UE behavior of deriving the practical trajectory of serving cell with rough accuracy can not be tested.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However, at the current stage, we are not clear how to emulate the test scenario of earth-moving cell, this may need further study and confirm by RAN4/5 group and TE vendor.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120" w:after="120"/>
              <w:rPr>
                <w:rFonts w:hint="default" w:eastAsiaTheme="minorEastAsia"/>
                <w:i/>
                <w:iCs/>
                <w:sz w:val="20"/>
                <w:szCs w:val="20"/>
                <w:lang w:val="en-US" w:eastAsia="zh-CN"/>
              </w:rPr>
            </w:pPr>
            <w:r>
              <w:rPr>
                <w:rFonts w:hint="eastAsia"/>
                <w:i/>
                <w:iCs/>
                <w:sz w:val="20"/>
                <w:szCs w:val="20"/>
                <w:lang w:val="en-US" w:eastAsia="zh-CN"/>
              </w:rPr>
              <w:t>t</w:t>
            </w:r>
            <w:r>
              <w:rPr>
                <w:i/>
                <w:iCs/>
                <w:sz w:val="20"/>
                <w:szCs w:val="20"/>
              </w:rPr>
              <w:t>he following high level steps are conducted for test cases for SAN defined in clause A.14</w:t>
            </w:r>
            <w:r>
              <w:rPr>
                <w:rFonts w:hint="eastAsia"/>
                <w:i/>
                <w:iCs/>
                <w:sz w:val="20"/>
                <w:szCs w:val="20"/>
                <w:lang w:val="en-US" w:eastAsia="zh-CN"/>
              </w:rPr>
              <w:t xml:space="preserve">, </w:t>
            </w:r>
          </w:p>
          <w:p>
            <w:pPr>
              <w:pStyle w:val="52"/>
              <w:rPr>
                <w:i/>
                <w:iCs/>
                <w:sz w:val="20"/>
                <w:szCs w:val="20"/>
              </w:rPr>
            </w:pPr>
            <w:r>
              <w:rPr>
                <w:i/>
                <w:iCs/>
                <w:sz w:val="20"/>
                <w:szCs w:val="20"/>
              </w:rPr>
              <w:t>-</w:t>
            </w:r>
            <w:r>
              <w:rPr>
                <w:i/>
                <w:iCs/>
                <w:sz w:val="20"/>
                <w:szCs w:val="20"/>
              </w:rPr>
              <w:tab/>
            </w:r>
            <w:r>
              <w:rPr>
                <w:i/>
                <w:iCs/>
                <w:sz w:val="20"/>
                <w:szCs w:val="20"/>
              </w:rPr>
              <w:t>A set of ephemeris information are pre-defined for each satellite corresponding to respective epoch times in TS 38.508-1 [38].</w:t>
            </w:r>
          </w:p>
          <w:p>
            <w:pPr>
              <w:pStyle w:val="52"/>
              <w:rPr>
                <w:rFonts w:hint="default"/>
                <w:sz w:val="20"/>
                <w:szCs w:val="20"/>
                <w:vertAlign w:val="baseline"/>
                <w:lang w:val="en-US" w:eastAsia="zh-CN"/>
              </w:rPr>
            </w:pPr>
            <w:r>
              <w:rPr>
                <w:rFonts w:hint="eastAsia"/>
                <w:i/>
                <w:iCs/>
                <w:sz w:val="20"/>
                <w:szCs w:val="20"/>
                <w:lang w:eastAsia="zh-CN"/>
              </w:rPr>
              <w:t>-</w:t>
            </w:r>
            <w:r>
              <w:rPr>
                <w:i/>
                <w:iCs/>
                <w:sz w:val="20"/>
                <w:szCs w:val="20"/>
              </w:rPr>
              <w:tab/>
            </w:r>
            <w:r>
              <w:rPr>
                <w:i/>
                <w:iCs/>
                <w:sz w:val="20"/>
                <w:szCs w:val="20"/>
                <w:highlight w:val="yellow"/>
              </w:rPr>
              <w:t>The same ephemeris information will be maintained during the test</w:t>
            </w:r>
            <w:r>
              <w:rPr>
                <w:i/>
                <w:iCs/>
                <w:sz w:val="20"/>
                <w:szCs w:val="20"/>
              </w:rPr>
              <w:t xml:space="preserve"> (</w:t>
            </w:r>
            <w:r>
              <w:rPr>
                <w:i/>
                <w:iCs/>
                <w:sz w:val="20"/>
                <w:szCs w:val="20"/>
                <w:highlight w:val="yellow"/>
              </w:rPr>
              <w:t>constant ephemerisInfo in all SIB19 updates</w:t>
            </w:r>
            <w:r>
              <w:rPr>
                <w:i/>
                <w:iCs/>
                <w:sz w:val="20"/>
                <w:szCs w:val="20"/>
              </w:rPr>
              <w:t xml:space="preserve">), i.e. </w:t>
            </w:r>
            <w:r>
              <w:rPr>
                <w:i/>
                <w:iCs/>
                <w:sz w:val="20"/>
                <w:szCs w:val="20"/>
                <w:highlight w:val="yellow"/>
              </w:rPr>
              <w:t>SAN RRM test cases are defined with fixed constant Delay and Doppler shift</w:t>
            </w:r>
            <w:r>
              <w:rPr>
                <w:i/>
                <w:iCs/>
                <w:sz w:val="20"/>
                <w:szCs w:val="20"/>
              </w:rPr>
              <w:t xml:space="preserve"> from Satellite access node to UE unless otherwise stated.</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Observation 1: By means of constant ephemeris information, the scenario of earth-moving cell can not be emulated, the UE behavior of deriving the practical trajectory of serving cell with rough accuracy can not be tested.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Further study the feasibility of emulating the test scenario of earth-moving cell.</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p>
    <w:p>
      <w:pPr>
        <w:spacing w:before="156" w:beforeLines="50"/>
        <w:rPr>
          <w:b/>
          <w:i/>
          <w:iCs/>
          <w:sz w:val="20"/>
          <w:szCs w:val="20"/>
          <w:u w:val="single"/>
          <w:lang w:val="en-US" w:eastAsia="zh-CN"/>
        </w:rPr>
      </w:pPr>
      <w:r>
        <w:rPr>
          <w:b/>
          <w:i/>
          <w:iCs/>
          <w:sz w:val="20"/>
          <w:szCs w:val="20"/>
          <w:u w:val="single"/>
          <w:lang w:val="en-US" w:eastAsia="zh-CN"/>
        </w:rPr>
        <w:t>Issue 2-4-1: For eMTC, test case with GNSS gap</w:t>
      </w:r>
    </w:p>
    <w:p>
      <w:pPr>
        <w:overflowPunct w:val="0"/>
        <w:autoSpaceDE w:val="0"/>
        <w:autoSpaceDN w:val="0"/>
        <w:adjustRightInd w:val="0"/>
        <w:spacing w:line="252" w:lineRule="auto"/>
        <w:textAlignment w:val="baseline"/>
        <w:rPr>
          <w:rFonts w:eastAsia="宋体"/>
          <w:i/>
          <w:iCs/>
          <w:sz w:val="20"/>
          <w:lang w:val="en-US" w:eastAsia="en-US"/>
        </w:rPr>
      </w:pPr>
      <w:r>
        <w:rPr>
          <w:rFonts w:eastAsia="宋体"/>
          <w:i/>
          <w:iCs/>
          <w:sz w:val="20"/>
          <w:lang w:val="en-US" w:eastAsia="en-US"/>
        </w:rPr>
        <w:t>&lt;Wayforward&gt;</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FFS RAN4 to introduce tests as follows for verify the GNSS measurement when the GNSS gaps overlaps with the mobility measurement gaps for eMTC, considering selecting a short GNSS gap length to make test practical:</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zh-CN" w:eastAsia="zh-CN"/>
        </w:rPr>
      </w:pPr>
      <w:r>
        <w:rPr>
          <w:rFonts w:eastAsia="宋体"/>
          <w:i/>
          <w:iCs/>
          <w:sz w:val="20"/>
          <w:lang w:val="en-US" w:eastAsia="zh-CN"/>
        </w:rPr>
        <w:t xml:space="preserve">Subtest 1: gaps are colliding and GNSS measurements are performed and neighbour cell measurements are not performed. </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CN"/>
        </w:rPr>
      </w:pPr>
      <w:r>
        <w:rPr>
          <w:rFonts w:eastAsia="宋体"/>
          <w:i/>
          <w:iCs/>
          <w:sz w:val="20"/>
          <w:lang w:val="en-US" w:eastAsia="zh-CN"/>
        </w:rPr>
        <w:t xml:space="preserve">Subtest 2: GNSS measurement is completed and UE performs neighbour cell measurements.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 xml:space="preserve">In principle, we are fine to introduce such test case to verify the GNSS measurement and UE behavior when GNSS gap and measurement gap overlapping, as long as RAN4 confirm that GNSS measurement can be supported by TE. </w:t>
      </w:r>
    </w:p>
    <w:p>
      <w:pPr>
        <w:spacing w:before="156" w:beforeLines="50"/>
        <w:rPr>
          <w:rFonts w:hint="eastAsia"/>
          <w:b/>
          <w:bCs/>
          <w:i/>
          <w:iCs/>
          <w:sz w:val="20"/>
          <w:szCs w:val="20"/>
          <w:lang w:val="en-US" w:eastAsia="zh-CN"/>
        </w:rPr>
      </w:pPr>
      <w:r>
        <w:rPr>
          <w:rFonts w:hint="eastAsia"/>
          <w:b/>
          <w:bCs/>
          <w:i/>
          <w:iCs/>
          <w:sz w:val="20"/>
          <w:szCs w:val="20"/>
          <w:lang w:val="en-US" w:eastAsia="zh-CN"/>
        </w:rPr>
        <w:t xml:space="preserve">Proposal 3: Introduce such test case to verify the GNSS measurement and UE behavior when GNSS gap and measurement gap overlapping, as long as RAN4 confirm that GNSS measurement can be supported by TE. </w:t>
      </w:r>
    </w:p>
    <w:p>
      <w:pPr>
        <w:spacing w:before="156" w:beforeLines="50"/>
        <w:rPr>
          <w:rFonts w:hint="eastAsia"/>
          <w:b/>
          <w:bCs/>
          <w:i/>
          <w:iCs/>
          <w:sz w:val="20"/>
          <w:szCs w:val="20"/>
          <w:lang w:val="en-US" w:eastAsia="zh-CN"/>
        </w:rPr>
      </w:pPr>
    </w:p>
    <w:bookmarkEnd w:id="5"/>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 For NB-IoT/eMTC, introduce time-based and location-based measurement triggering test cases for RRC Idle and RRC connected modes in Earth Fixed cell scenarios.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Observation 1: By means of constant ephemeris information, the scenario of earth-moving cell can not be emulated, the UE behavior of deriving the practical trajectory of serving cell with rough accuracy can not be tested.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Further study the feasibility of emulating the test scenario of earth-moving cell.</w:t>
      </w:r>
    </w:p>
    <w:p>
      <w:pPr>
        <w:spacing w:before="156" w:beforeLines="50"/>
        <w:rPr>
          <w:rFonts w:hint="eastAsia"/>
          <w:b/>
          <w:bCs/>
          <w:i/>
          <w:iCs/>
          <w:sz w:val="20"/>
          <w:szCs w:val="20"/>
          <w:lang w:val="en-US" w:eastAsia="zh-CN"/>
        </w:rPr>
      </w:pPr>
      <w:r>
        <w:rPr>
          <w:rFonts w:hint="eastAsia"/>
          <w:b/>
          <w:bCs/>
          <w:i/>
          <w:iCs/>
          <w:sz w:val="20"/>
          <w:szCs w:val="20"/>
          <w:lang w:val="en-US" w:eastAsia="zh-CN"/>
        </w:rPr>
        <w:t xml:space="preserve">Proposal 3: Introduce such test case to verify the GNSS measurement and UE behavior when GNSS gap and measurement gap overlapping, as long as RAN4 confirm that GNSS measurement can be supported by TE. </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6"/>
        </w:numPr>
        <w:rPr>
          <w:sz w:val="20"/>
          <w:szCs w:val="20"/>
          <w:lang w:val="en-GB"/>
        </w:rPr>
      </w:pPr>
      <w:r>
        <w:rPr>
          <w:rFonts w:hint="eastAsia"/>
          <w:sz w:val="20"/>
          <w:szCs w:val="20"/>
          <w:lang w:val="en-GB"/>
        </w:rPr>
        <w:t>R4-2</w:t>
      </w:r>
      <w:r>
        <w:rPr>
          <w:rFonts w:hint="eastAsia"/>
          <w:sz w:val="20"/>
          <w:szCs w:val="20"/>
          <w:lang w:val="en-US" w:eastAsia="zh-CN"/>
        </w:rPr>
        <w:t xml:space="preserve">403296, WF on R18 IoT NTN RRM requirements, </w:t>
      </w:r>
      <w:r>
        <w:rPr>
          <w:sz w:val="20"/>
          <w:szCs w:val="20"/>
          <w:lang w:val="en-GB"/>
        </w:rPr>
        <w:t>MediaTek</w:t>
      </w:r>
      <w:r>
        <w:rPr>
          <w:rFonts w:hint="eastAsia"/>
          <w:sz w:val="20"/>
          <w:szCs w:val="20"/>
          <w:lang w:val="en-US" w:eastAsia="zh-CN"/>
        </w:rPr>
        <w:t xml:space="preserve"> inc</w:t>
      </w:r>
      <w:r>
        <w:rPr>
          <w:sz w:val="20"/>
          <w:szCs w:val="20"/>
          <w:lang w:val="en-GB"/>
        </w:rPr>
        <w: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3A638EA"/>
    <w:multiLevelType w:val="singleLevel"/>
    <w:tmpl w:val="33A638EA"/>
    <w:lvl w:ilvl="0" w:tentative="0">
      <w:start w:val="1"/>
      <w:numFmt w:val="decimal"/>
      <w:suff w:val="space"/>
      <w:lvlText w:val="[%1]"/>
      <w:lvlJc w:val="left"/>
    </w:lvl>
  </w:abstractNum>
  <w:abstractNum w:abstractNumId="2">
    <w:nsid w:val="43FE849D"/>
    <w:multiLevelType w:val="multilevel"/>
    <w:tmpl w:val="43FE849D"/>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bullet"/>
      <w:lvlText w:val="˗"/>
      <w:lvlJc w:val="right"/>
      <w:pPr>
        <w:ind w:left="1800" w:hanging="180"/>
      </w:pPr>
      <w:rPr>
        <w:rFonts w:hint="default" w:ascii="Times New Roman" w:hAnsi="Times New Roman" w:cs="Times New Roman"/>
      </w:rPr>
    </w:lvl>
    <w:lvl w:ilvl="3" w:tentative="0">
      <w:start w:val="1"/>
      <w:numFmt w:val="bullet"/>
      <w:lvlText w:val="ο"/>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3">
    <w:nsid w:val="4D6E3167"/>
    <w:multiLevelType w:val="multilevel"/>
    <w:tmpl w:val="4D6E3167"/>
    <w:lvl w:ilvl="0" w:tentative="0">
      <w:start w:val="1"/>
      <w:numFmt w:val="decimal"/>
      <w:pStyle w:val="89"/>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D5C"/>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1F09"/>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4CDB"/>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22D"/>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36EF"/>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3E3"/>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1AC"/>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A78"/>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CD0"/>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410"/>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82"/>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100"/>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7D3"/>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7D8"/>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A1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4F9"/>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6D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18E"/>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5AA"/>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0F1"/>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6AD"/>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377"/>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5F5"/>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721"/>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2F0"/>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059"/>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78"/>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DF6916"/>
    <w:rsid w:val="03E43497"/>
    <w:rsid w:val="042774DD"/>
    <w:rsid w:val="05B7080C"/>
    <w:rsid w:val="066A63E7"/>
    <w:rsid w:val="086F3783"/>
    <w:rsid w:val="08A836D6"/>
    <w:rsid w:val="0A7D0280"/>
    <w:rsid w:val="0AF3551B"/>
    <w:rsid w:val="0B5E763D"/>
    <w:rsid w:val="0B784EA2"/>
    <w:rsid w:val="0C50408D"/>
    <w:rsid w:val="0D527EFF"/>
    <w:rsid w:val="0DA86159"/>
    <w:rsid w:val="0E3F0962"/>
    <w:rsid w:val="0F8D4A7B"/>
    <w:rsid w:val="102A58B1"/>
    <w:rsid w:val="11C62446"/>
    <w:rsid w:val="122766AB"/>
    <w:rsid w:val="144F13B7"/>
    <w:rsid w:val="147A3D06"/>
    <w:rsid w:val="15CC6F5A"/>
    <w:rsid w:val="16A451B5"/>
    <w:rsid w:val="16C02DD7"/>
    <w:rsid w:val="17380728"/>
    <w:rsid w:val="183B5256"/>
    <w:rsid w:val="18CE3E98"/>
    <w:rsid w:val="190267FD"/>
    <w:rsid w:val="195D45E8"/>
    <w:rsid w:val="1A3B58AE"/>
    <w:rsid w:val="1B4F7796"/>
    <w:rsid w:val="1B792141"/>
    <w:rsid w:val="1BC42F5F"/>
    <w:rsid w:val="1BE42F4F"/>
    <w:rsid w:val="1CFA6188"/>
    <w:rsid w:val="1D4A3A1E"/>
    <w:rsid w:val="1F674C92"/>
    <w:rsid w:val="1FA9294D"/>
    <w:rsid w:val="1FE94B02"/>
    <w:rsid w:val="21E114DB"/>
    <w:rsid w:val="21E2403E"/>
    <w:rsid w:val="221A1DB0"/>
    <w:rsid w:val="24EA1392"/>
    <w:rsid w:val="26490F70"/>
    <w:rsid w:val="2799032D"/>
    <w:rsid w:val="28AD5570"/>
    <w:rsid w:val="295F0346"/>
    <w:rsid w:val="29CE3442"/>
    <w:rsid w:val="2B5F0F26"/>
    <w:rsid w:val="2C4F2970"/>
    <w:rsid w:val="2D1544D4"/>
    <w:rsid w:val="2D4E3FEC"/>
    <w:rsid w:val="2DB63F40"/>
    <w:rsid w:val="2F02672D"/>
    <w:rsid w:val="2FB70B85"/>
    <w:rsid w:val="300253EC"/>
    <w:rsid w:val="303167EA"/>
    <w:rsid w:val="307C2ED1"/>
    <w:rsid w:val="323B1D70"/>
    <w:rsid w:val="32D15F45"/>
    <w:rsid w:val="33C80770"/>
    <w:rsid w:val="34AA1768"/>
    <w:rsid w:val="34FC7171"/>
    <w:rsid w:val="35C52815"/>
    <w:rsid w:val="36602078"/>
    <w:rsid w:val="37691FF5"/>
    <w:rsid w:val="37AC35E1"/>
    <w:rsid w:val="393413CB"/>
    <w:rsid w:val="39766094"/>
    <w:rsid w:val="39F21753"/>
    <w:rsid w:val="3AAF53A3"/>
    <w:rsid w:val="3B2816DE"/>
    <w:rsid w:val="3B9F0259"/>
    <w:rsid w:val="3BCB7285"/>
    <w:rsid w:val="3BD536F5"/>
    <w:rsid w:val="3D2F03C8"/>
    <w:rsid w:val="3D553DF8"/>
    <w:rsid w:val="3DE012A3"/>
    <w:rsid w:val="3E1D3E6C"/>
    <w:rsid w:val="3E46381C"/>
    <w:rsid w:val="3E5E349B"/>
    <w:rsid w:val="3EBE3E1A"/>
    <w:rsid w:val="3EFB512C"/>
    <w:rsid w:val="3F3D58A9"/>
    <w:rsid w:val="40E05E28"/>
    <w:rsid w:val="42602CC4"/>
    <w:rsid w:val="42D734D4"/>
    <w:rsid w:val="442A5A15"/>
    <w:rsid w:val="454105AC"/>
    <w:rsid w:val="45A37EE2"/>
    <w:rsid w:val="468714D8"/>
    <w:rsid w:val="46D42F41"/>
    <w:rsid w:val="46F84BE9"/>
    <w:rsid w:val="472A118C"/>
    <w:rsid w:val="47635B07"/>
    <w:rsid w:val="486C1677"/>
    <w:rsid w:val="48A26FE9"/>
    <w:rsid w:val="492C0196"/>
    <w:rsid w:val="4986410E"/>
    <w:rsid w:val="4B4D0490"/>
    <w:rsid w:val="4BB21BA6"/>
    <w:rsid w:val="4BB6259C"/>
    <w:rsid w:val="4C0B7D32"/>
    <w:rsid w:val="4DAA69E3"/>
    <w:rsid w:val="4E2862D4"/>
    <w:rsid w:val="4F9609EC"/>
    <w:rsid w:val="5006567C"/>
    <w:rsid w:val="5036431B"/>
    <w:rsid w:val="508A61D7"/>
    <w:rsid w:val="509A3019"/>
    <w:rsid w:val="50F9722C"/>
    <w:rsid w:val="51DB0DE8"/>
    <w:rsid w:val="51F33E36"/>
    <w:rsid w:val="52515BB9"/>
    <w:rsid w:val="5283264C"/>
    <w:rsid w:val="53763BF1"/>
    <w:rsid w:val="57476FC5"/>
    <w:rsid w:val="57D961AD"/>
    <w:rsid w:val="58921869"/>
    <w:rsid w:val="5986125F"/>
    <w:rsid w:val="59A136B1"/>
    <w:rsid w:val="5B0C2198"/>
    <w:rsid w:val="5B53643C"/>
    <w:rsid w:val="5B9163BE"/>
    <w:rsid w:val="5D1C5595"/>
    <w:rsid w:val="5E592077"/>
    <w:rsid w:val="5EF37BC6"/>
    <w:rsid w:val="60523953"/>
    <w:rsid w:val="605F6F46"/>
    <w:rsid w:val="60B03BF5"/>
    <w:rsid w:val="6181250D"/>
    <w:rsid w:val="61C33F46"/>
    <w:rsid w:val="623C2594"/>
    <w:rsid w:val="62B33F53"/>
    <w:rsid w:val="646734C9"/>
    <w:rsid w:val="64D72F75"/>
    <w:rsid w:val="653760D5"/>
    <w:rsid w:val="65651F98"/>
    <w:rsid w:val="657665A7"/>
    <w:rsid w:val="676650BE"/>
    <w:rsid w:val="68993928"/>
    <w:rsid w:val="68A65B1F"/>
    <w:rsid w:val="692A258D"/>
    <w:rsid w:val="69693F00"/>
    <w:rsid w:val="69716B6C"/>
    <w:rsid w:val="6BA90C73"/>
    <w:rsid w:val="6ECA1055"/>
    <w:rsid w:val="6EE421CF"/>
    <w:rsid w:val="6EF969D0"/>
    <w:rsid w:val="705F3228"/>
    <w:rsid w:val="708A3369"/>
    <w:rsid w:val="710B1683"/>
    <w:rsid w:val="72664E62"/>
    <w:rsid w:val="736E37A8"/>
    <w:rsid w:val="737D291E"/>
    <w:rsid w:val="7455295B"/>
    <w:rsid w:val="75595304"/>
    <w:rsid w:val="76D53DF1"/>
    <w:rsid w:val="789216E2"/>
    <w:rsid w:val="799C310B"/>
    <w:rsid w:val="79F0361A"/>
    <w:rsid w:val="79FD634D"/>
    <w:rsid w:val="79FE1626"/>
    <w:rsid w:val="7A9C737C"/>
    <w:rsid w:val="7C047802"/>
    <w:rsid w:val="7D1D19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7"/>
    <w:qFormat/>
    <w:uiPriority w:val="0"/>
    <w:pPr>
      <w:keepNext/>
      <w:spacing w:after="60"/>
    </w:pPr>
    <w:rPr>
      <w:rFonts w:ascii="Courier New" w:hAnsi="Courier New"/>
      <w:b/>
      <w:kern w:val="20"/>
      <w:sz w:val="16"/>
      <w:lang w:eastAsia="en-US"/>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List 2"/>
    <w:basedOn w:val="14"/>
    <w:qFormat/>
    <w:uiPriority w:val="0"/>
    <w:pPr>
      <w:ind w:left="851"/>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8"/>
    <w:semiHidden/>
    <w:unhideWhenUsed/>
    <w:qFormat/>
    <w:uiPriority w:val="99"/>
    <w:rPr>
      <w:rFonts w:ascii="Cambria Math" w:hAnsi="Cambria Math" w:eastAsia="Cambria Math"/>
      <w:sz w:val="18"/>
      <w:szCs w:val="18"/>
    </w:rPr>
  </w:style>
  <w:style w:type="paragraph" w:styleId="16">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6"/>
    <w:qFormat/>
    <w:uiPriority w:val="99"/>
    <w:pPr>
      <w:tabs>
        <w:tab w:val="center" w:pos="4153"/>
        <w:tab w:val="right" w:pos="8306"/>
      </w:tabs>
    </w:pPr>
    <w:rPr>
      <w:rFonts w:eastAsia="Courier New"/>
      <w:sz w:val="20"/>
      <w:szCs w:val="20"/>
      <w:lang w:eastAsia="en-US"/>
    </w:rPr>
  </w:style>
  <w:style w:type="paragraph" w:styleId="18">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unhideWhenUsed/>
    <w:qFormat/>
    <w:uiPriority w:val="0"/>
    <w:rPr>
      <w:sz w:val="21"/>
      <w:szCs w:val="21"/>
    </w:rPr>
  </w:style>
  <w:style w:type="character" w:customStyle="1" w:styleId="26">
    <w:name w:val="页眉 字符"/>
    <w:link w:val="17"/>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5"/>
    <w:semiHidden/>
    <w:qFormat/>
    <w:uiPriority w:val="99"/>
    <w:rPr>
      <w:rFonts w:ascii="Cambria Math" w:eastAsia="Cambria Math"/>
      <w:sz w:val="18"/>
      <w:szCs w:val="18"/>
    </w:rPr>
  </w:style>
  <w:style w:type="character" w:customStyle="1" w:styleId="49">
    <w:name w:val="页脚 字符"/>
    <w:link w:val="16"/>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4"/>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修订1"/>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2"/>
    <w:basedOn w:val="13"/>
    <w:qFormat/>
    <w:uiPriority w:val="0"/>
  </w:style>
  <w:style w:type="paragraph" w:customStyle="1" w:styleId="89">
    <w:name w:val="RAN4 proposal"/>
    <w:basedOn w:val="10"/>
    <w:next w:val="1"/>
    <w:qFormat/>
    <w:uiPriority w:val="0"/>
    <w:pPr>
      <w:numPr>
        <w:ilvl w:val="0"/>
        <w:numId w:val="3"/>
      </w:numPr>
      <w:spacing w:after="200"/>
    </w:pPr>
    <w:rPr>
      <w:rFonts w:eastAsia="PMingLiU" w:cstheme="minorBidi"/>
      <w:iCs/>
      <w:szCs w:val="18"/>
    </w:rPr>
  </w:style>
  <w:style w:type="paragraph" w:customStyle="1" w:styleId="90">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3105</Words>
  <Characters>17703</Characters>
  <Lines>147</Lines>
  <Paragraphs>41</Paragraphs>
  <TotalTime>1</TotalTime>
  <ScaleCrop>false</ScaleCrop>
  <LinksUpToDate>false</LinksUpToDate>
  <CharactersWithSpaces>20767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2024-04-08T10:20:18Z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996F79525CBD4A05A03F3D46EB8F069A</vt:lpwstr>
  </property>
</Properties>
</file>